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9C5C4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center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bdr w:val="none" w:color="auto" w:sz="0" w:space="0"/>
        </w:rPr>
        <w:t>取水与计划用水合规备案信息</w:t>
      </w:r>
      <w:bookmarkStart w:id="0" w:name="_GoBack"/>
      <w:bookmarkEnd w:id="0"/>
    </w:p>
    <w:p w14:paraId="29EB25D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Style w:val="5"/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编制部门</w:t>
      </w: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 xml:space="preserve">：环保安全部（EHS） </w:t>
      </w:r>
      <w:r>
        <w:rPr>
          <w:rStyle w:val="5"/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编制日期</w:t>
      </w: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 xml:space="preserve">：2025 年 12 月 20 日 </w:t>
      </w:r>
      <w:r>
        <w:rPr>
          <w:rStyle w:val="5"/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统计范围</w:t>
      </w: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 xml:space="preserve">：南通总部、安徽百尚智能服装有限公司生产基地 </w:t>
      </w:r>
      <w:r>
        <w:rPr>
          <w:rStyle w:val="5"/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法规依据</w:t>
      </w: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：《取水许可和水资源费征收管理条例》《城市节约用水管理规定》及属地水资源管理要求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11"/>
        <w:gridCol w:w="1495"/>
        <w:gridCol w:w="2701"/>
        <w:gridCol w:w="1170"/>
        <w:gridCol w:w="2271"/>
        <w:gridCol w:w="1459"/>
        <w:gridCol w:w="1533"/>
        <w:gridCol w:w="1917"/>
        <w:gridCol w:w="741"/>
      </w:tblGrid>
      <w:tr w14:paraId="521132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2A42B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厂区名称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1960A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取水水源类型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88A17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是否需单独办理取水许可证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86848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属地主管部门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35C9D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计划用水管理情况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5B89D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2025 年度计划用水指标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AE1F0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2025 年度实际取用水量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185F7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指标执行情况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30704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合规状态</w:t>
            </w:r>
          </w:p>
        </w:tc>
      </w:tr>
      <w:tr w14:paraId="184B52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1C5FE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南通总部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838C4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市政公共供水（自来水）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CB973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否（使用市政管网供水，由供水单位统一办理取水许可）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0F1BB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南通市通州区水务局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F20DA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纳入属地计划用水管理，按年度下达用水指标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C3548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3.0 万吨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E85B9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2.38 万吨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53F6D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低于年度计划指标，执行率 79.3%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00063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合规</w:t>
            </w:r>
          </w:p>
        </w:tc>
      </w:tr>
      <w:tr w14:paraId="55144F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7A078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安徽生产基地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67851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市政公共供水（自来水）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B29E2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否（使用市政管网供水，由供水单位统一办理取水许可）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68ACD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属地经开区水务局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1F1D7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纳入属地计划用水管理，按年度下达用水指标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AFBF5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12.0 万吨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4CDB9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10.75 万吨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A7CCA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低于年度计划指标，执行率 89.6%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A33FF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合规</w:t>
            </w:r>
          </w:p>
        </w:tc>
      </w:tr>
    </w:tbl>
    <w:p w14:paraId="2A89585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</w:p>
    <w:p w14:paraId="272F041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color w:val="000000"/>
          <w:sz w:val="24"/>
          <w:szCs w:val="24"/>
        </w:rPr>
      </w:pPr>
      <w:r>
        <w:rPr>
          <w:rStyle w:val="5"/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备注</w:t>
      </w: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：</w:t>
      </w:r>
    </w:p>
    <w:p w14:paraId="763792A2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hanging="36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bdr w:val="none" w:color="auto" w:sz="0" w:space="0"/>
        </w:rPr>
        <w:t>两厂区均无自备取水设施，不涉及地下水、地表水自主取水，全部生产、生活用水均来自市政公共供水管网，符合服装加工企业低耗水的业务特征；</w:t>
      </w:r>
    </w:p>
    <w:p w14:paraId="00A25FEF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hanging="36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bdr w:val="none" w:color="auto" w:sz="0" w:space="0"/>
        </w:rPr>
        <w:t>公司已按要求完成用水统计台账建设，按月报送用水数据至属地节水管理部门，全年无超计划用水、无涉水行政处罚；</w:t>
      </w:r>
    </w:p>
    <w:p w14:paraId="59DCD157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hanging="36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bdr w:val="none" w:color="auto" w:sz="0" w:space="0"/>
        </w:rPr>
        <w:t>2025 年安徽厂区中水回用系统投运后，新鲜水取用量相应下降，已向属地水务部门报备用水结构调整情况。</w:t>
      </w:r>
    </w:p>
    <w:p w14:paraId="15D6B6A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8F80AA"/>
    <w:multiLevelType w:val="multilevel"/>
    <w:tmpl w:val="998F80A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60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2026-08-06T02:44:07Z</dcterms:created>
  <dc:creator>45105</dc:creator>
  <cp:lastModifiedBy>高艳辉Chris</cp:lastModifiedBy>
  <dcterms:modified xsi:type="dcterms:W3CDTF">2026-08-06T02:44:49Z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eyJoZGlkIjoiMzEwNTM5NzYwMDRjMzkwZTVkZjY2ODkwMGIxNGU0OTUiLCJ1c2VySWQiOiI1MDY0ODk0OTkifQ==</vt:lpwstr>
  </property>
  <property fmtid="{D5CDD505-2E9C-101B-9397-08002B2CF9AE}" pid="4" name="ICV">
    <vt:lpwstr>FC3A40E122A54548BD807C742E34F143_12</vt:lpwstr>
  </property>
</Properties>
</file>