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DA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2025年度排污许可管理工作总结</w:t>
      </w:r>
    </w:p>
    <w:p w14:paraId="3A4E04A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Style w:val="8"/>
          <w:rFonts w:hint="default" w:ascii="Tahoma" w:hAnsi="Tahoma" w:eastAsia="Tahoma" w:cs="Tahoma"/>
          <w:b/>
          <w:bCs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编制部门：</w:t>
      </w: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 xml:space="preserve"> 环保安全部（EHS） </w:t>
      </w:r>
      <w:r>
        <w:rPr>
          <w:rStyle w:val="8"/>
          <w:rFonts w:hint="default" w:ascii="Tahoma" w:hAnsi="Tahoma" w:eastAsia="Tahoma" w:cs="Tahoma"/>
          <w:b/>
          <w:bCs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编制日期：</w:t>
      </w: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 xml:space="preserve"> 2026年1月20日</w:t>
      </w:r>
    </w:p>
    <w:p w14:paraId="1AE0E9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  <w:pict>
          <v:rect id="_x0000_i1025" o:spt="1" style="height:1.5pt;width:432pt;" fillcolor="#262626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5D29E6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2025年度，环保安全部围绕排污许可"一证式"管理要求，持续做好南通总部、安徽厂区两大生产运营单元排污许可证的持证管理、限值执行、自行监测及信息公开等各项工作，全年许可证证载事项执行到位，各排放口污染物浓度及排放总量均控制在许可限值范围内，未发生超标排放及无证排污情况。现将全年工作开展情况总结如下。</w:t>
      </w:r>
    </w:p>
    <w:p w14:paraId="3BCD282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  <w:pict>
          <v:rect id="_x0000_i1026" o:spt="1" style="height:1.5pt;width:432pt;" fillcolor="#262626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14679D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一、排污许可证持证情况</w:t>
      </w:r>
    </w:p>
    <w:p w14:paraId="6E7AE1E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本年度，公司南通总部、安徽厂区排污许可证均在有效期内正常存续，证载信息与实际生产排污情况保持一致，未发生生产工艺、排放口设置等重大变更事项，无需启动变更申领程序。</w:t>
      </w:r>
      <w:bookmarkStart w:id="0" w:name="_GoBack"/>
      <w:bookmarkEnd w:id="0"/>
    </w:p>
    <w:p w14:paraId="627BB1C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（一）南通总部排污许可证基本情况</w:t>
      </w:r>
    </w:p>
    <w:p w14:paraId="416A9DD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南通总部按照服装制造行业（机织服装制造）纳入</w:t>
      </w:r>
      <w:r>
        <w:rPr>
          <w:rStyle w:val="8"/>
          <w:rFonts w:hint="default" w:ascii="Tahoma" w:hAnsi="Tahoma" w:eastAsia="Tahoma" w:cs="Tahoma"/>
          <w:b/>
          <w:bCs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简化管理</w:t>
      </w: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类别，持证情况如下：</w:t>
      </w:r>
    </w:p>
    <w:tbl>
      <w:tblPr>
        <w:tblStyle w:val="6"/>
        <w:tblW w:w="0" w:type="auto"/>
        <w:tblInd w:w="0" w:type="dxa"/>
        <w:tblBorders>
          <w:top w:val="single" w:color="D8DEE4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14"/>
        <w:gridCol w:w="7582"/>
      </w:tblGrid>
      <w:tr w14:paraId="3FFFFAE1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E26DE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项目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E60FA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内容</w:t>
            </w:r>
          </w:p>
        </w:tc>
      </w:tr>
      <w:tr w14:paraId="0DFA7B66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D6EC5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证书编号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36E83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91320XXXMA1XXXXX8X001P</w:t>
            </w:r>
          </w:p>
        </w:tc>
      </w:tr>
      <w:tr w14:paraId="2CD6E76D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76FD2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发证机关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1CA54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南通市生态环境局</w:t>
            </w:r>
          </w:p>
        </w:tc>
      </w:tr>
      <w:tr w14:paraId="726A7795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BCC39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行业类别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63067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机织服装制造</w:t>
            </w:r>
          </w:p>
        </w:tc>
      </w:tr>
      <w:tr w14:paraId="7040E7CC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BBA9C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管理类别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0574F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简化管理（排污许可证登记表）</w:t>
            </w:r>
          </w:p>
        </w:tc>
      </w:tr>
      <w:tr w14:paraId="57520031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04189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有效期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24502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2022年11月1日至2027年10月31日</w:t>
            </w:r>
          </w:p>
        </w:tc>
      </w:tr>
      <w:tr w14:paraId="5EE21175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BB277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排放口设置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1C958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大气排放口1个（锅炉、定型机废气合并收集排放）；废水排放口1个（预处理后间接排入市政污水管网）</w:t>
            </w:r>
          </w:p>
        </w:tc>
      </w:tr>
    </w:tbl>
    <w:p w14:paraId="4DF15D5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南通总部生产废水经厂区预处理达到接管标准后排入市政管网，由受纳污水处理厂统一监测核算，公司层面不单独申报废水排放总量，仅需保障接管浓度达标。</w:t>
      </w:r>
    </w:p>
    <w:p w14:paraId="335AF9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（二）安徽厂区排污许可证基本情况</w:t>
      </w:r>
    </w:p>
    <w:p w14:paraId="1762B11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安徽厂区因自建污水处理站、废水直接向环境水体所在区域市政管网排放，按</w:t>
      </w:r>
      <w:r>
        <w:rPr>
          <w:rStyle w:val="8"/>
          <w:rFonts w:hint="default" w:ascii="Tahoma" w:hAnsi="Tahoma" w:eastAsia="Tahoma" w:cs="Tahoma"/>
          <w:b/>
          <w:bCs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重点管理</w:t>
      </w: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类别持证，需按季度提交执行报告并开展自行监测：</w:t>
      </w:r>
    </w:p>
    <w:tbl>
      <w:tblPr>
        <w:tblStyle w:val="6"/>
        <w:tblW w:w="0" w:type="auto"/>
        <w:tblInd w:w="0" w:type="dxa"/>
        <w:tblBorders>
          <w:top w:val="single" w:color="D8DEE4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14"/>
        <w:gridCol w:w="7582"/>
      </w:tblGrid>
      <w:tr w14:paraId="1C466F98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EE846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项目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6F684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内容</w:t>
            </w:r>
          </w:p>
        </w:tc>
      </w:tr>
      <w:tr w14:paraId="0D88BFEB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1A5A6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证书编号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4F2A3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91341XXXMA1XXXXX7X001P</w:t>
            </w:r>
          </w:p>
        </w:tc>
      </w:tr>
      <w:tr w14:paraId="4BF42ED8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A5878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发证机关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720A2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安徽省</w:t>
            </w:r>
            <w:r>
              <w:rPr>
                <w:rFonts w:hint="eastAsia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合肥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市生态环境局</w:t>
            </w:r>
          </w:p>
        </w:tc>
      </w:tr>
      <w:tr w14:paraId="4A95FCF6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EB5B5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行业类别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0A7F9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针织或钩针编织服装制造</w:t>
            </w:r>
          </w:p>
        </w:tc>
      </w:tr>
      <w:tr w14:paraId="2A5742FA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F735B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管理类别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78F59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重点管理</w:t>
            </w:r>
          </w:p>
        </w:tc>
      </w:tr>
      <w:tr w14:paraId="1497CA46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B98CE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有效期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5A62A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2022年11月1日至2027年10月31日</w:t>
            </w:r>
          </w:p>
        </w:tc>
      </w:tr>
      <w:tr w14:paraId="6D3D7C28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A19FB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排放口设置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FA9FA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大气排放口1个（锅炉、定型机废气合并收集排放）；废水排放口1个（污水处理站处理达标后间接排放）</w:t>
            </w:r>
          </w:p>
        </w:tc>
      </w:tr>
    </w:tbl>
    <w:p w14:paraId="4EF5595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sz w:val="24"/>
          <w:szCs w:val="24"/>
        </w:rPr>
        <w:pict>
          <v:rect id="_x0000_i1027" o:spt="1" style="height:1.5pt;width:432pt;" fillcolor="#262626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ABAFEF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二、许可排放限值执行情况</w:t>
      </w:r>
    </w:p>
    <w:p w14:paraId="226F311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全年围绕证载许可限值，部门持续跟踪各排放口浓度及总量执行情况，具体如下。</w:t>
      </w:r>
    </w:p>
    <w:p w14:paraId="243D1A1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（一）大气污染物排放执行情况</w:t>
      </w:r>
    </w:p>
    <w:tbl>
      <w:tblPr>
        <w:tblStyle w:val="6"/>
        <w:tblW w:w="0" w:type="auto"/>
        <w:tblInd w:w="0" w:type="dxa"/>
        <w:tblBorders>
          <w:top w:val="single" w:color="D8DEE4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82"/>
        <w:gridCol w:w="1367"/>
        <w:gridCol w:w="1200"/>
        <w:gridCol w:w="1244"/>
        <w:gridCol w:w="1311"/>
        <w:gridCol w:w="1355"/>
        <w:gridCol w:w="1137"/>
      </w:tblGrid>
      <w:tr w14:paraId="7F09F4C0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D6D04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排放口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B23FE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污染物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252E7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许可浓度限值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FF253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全年实测浓度均值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4F41E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许可年排放总量限值（吨）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FAC7A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全年实际排放总量（吨，估算）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0AF87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总量执行率</w:t>
            </w:r>
          </w:p>
        </w:tc>
      </w:tr>
      <w:tr w14:paraId="18EDAC87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FD391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南通总部（锅炉+定型机）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E820A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氮氧化物（NOₓ）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F7632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≤150 mg/m³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084EB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42 mg/m³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FAC09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0.85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26036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约0.58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BC278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68.2%</w:t>
            </w:r>
          </w:p>
        </w:tc>
      </w:tr>
      <w:tr w14:paraId="45243024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29D9C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安徽厂区（锅炉+定型机）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57426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氮氧化物（NOₓ）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CD5A2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≤150 mg/m³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F625B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38 mg/m³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5ACD7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0.72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0E747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约0.49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D9355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68.1%</w:t>
            </w:r>
          </w:p>
        </w:tc>
      </w:tr>
      <w:tr w14:paraId="6ABC43FA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2DBE4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安徽厂区（定型机）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EEBA2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颗粒物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B5A94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≤30 mg/m³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07F64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12 mg/m³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4905B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0.12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58C1F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约0.05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D58EA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41.7%</w:t>
            </w:r>
          </w:p>
        </w:tc>
      </w:tr>
      <w:tr w14:paraId="70F1D635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E99B2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安徽厂区（定型机）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12645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非甲烷总烃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B9862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≤50 mg/m³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3C8DD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28 mg/m³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DC47D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0.35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1C764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约0.21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FC49F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60.0%</w:t>
            </w:r>
          </w:p>
        </w:tc>
      </w:tr>
    </w:tbl>
    <w:p w14:paraId="1113B7C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南通总部锅炉、定型机废气合并排放，全年NOₓ浓度稳定控制在许可限值的三分之一以内；安徽厂区各项大气污染物浓度及总量执行率均保持在70%以内，留有充足合规余量。</w:t>
      </w:r>
    </w:p>
    <w:p w14:paraId="23115AA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（二）废水污染物排放执行情况（安徽厂区）</w:t>
      </w:r>
    </w:p>
    <w:p w14:paraId="18EB757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安徽厂区污水处理站全年处理生产废水及生活污水，处理达标后排放，全年运行情况如下：</w:t>
      </w:r>
    </w:p>
    <w:tbl>
      <w:tblPr>
        <w:tblStyle w:val="6"/>
        <w:tblW w:w="0" w:type="auto"/>
        <w:tblInd w:w="0" w:type="dxa"/>
        <w:tblBorders>
          <w:top w:val="single" w:color="D8DEE4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47"/>
        <w:gridCol w:w="1234"/>
        <w:gridCol w:w="1675"/>
        <w:gridCol w:w="1751"/>
        <w:gridCol w:w="1831"/>
        <w:gridCol w:w="1258"/>
      </w:tblGrid>
      <w:tr w14:paraId="0444EDF5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1222B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污染物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B55C6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出水浓度均值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80E9B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全年废水排放量（吨）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9B368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全年实际排放总量（吨）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37CE8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许可年排放总量限值（吨）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900E4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总量执行率</w:t>
            </w:r>
          </w:p>
        </w:tc>
      </w:tr>
      <w:tr w14:paraId="04B3945A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FE1AF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COD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A4B4B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48 mg/L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BB22E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70,340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0B163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约3.38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6CF3B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5.0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CE643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67.6%</w:t>
            </w:r>
          </w:p>
        </w:tc>
      </w:tr>
      <w:tr w14:paraId="15475FD4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EEB8D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氨氮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B606A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8.2 mg/L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5F552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70,340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57B38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约0.58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35961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1.0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23F0B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58.0%</w:t>
            </w:r>
          </w:p>
        </w:tc>
      </w:tr>
      <w:tr w14:paraId="6D66FCF8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FD63D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色度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A34AA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32倍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44702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—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BA1FB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—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3D8D3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不核定总量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AB272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—</w:t>
            </w:r>
          </w:p>
        </w:tc>
      </w:tr>
    </w:tbl>
    <w:p w14:paraId="46AEDB8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全年COD、氨氮排放总量执行率均控制在70%以内，色度指标全年稳定达标，未出现临近限值的预警情况。</w:t>
      </w:r>
    </w:p>
    <w:p w14:paraId="72E88FD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南通总部废水经预处理后间接排入市政污水管网，执行地方接管标准，公司层面不核定独立的废水排放总量指标。</w:t>
      </w:r>
    </w:p>
    <w:p w14:paraId="2FF663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  <w:pict>
          <v:rect id="_x0000_i1028" o:spt="1" style="height:1.5pt;width:432pt;" fillcolor="#262626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62AE55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三、自行监测开展情况</w:t>
      </w:r>
    </w:p>
    <w:p w14:paraId="5F37405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按照许可证证载监测要求，全年自行监测执行到位：</w:t>
      </w:r>
    </w:p>
    <w:tbl>
      <w:tblPr>
        <w:tblStyle w:val="6"/>
        <w:tblW w:w="0" w:type="auto"/>
        <w:tblInd w:w="0" w:type="dxa"/>
        <w:tblBorders>
          <w:top w:val="single" w:color="D8DEE4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87"/>
        <w:gridCol w:w="1509"/>
        <w:gridCol w:w="2800"/>
      </w:tblGrid>
      <w:tr w14:paraId="6E1EF210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6A341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监测类别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EA245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监测频次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9E43B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执行方式</w:t>
            </w:r>
          </w:p>
        </w:tc>
      </w:tr>
      <w:tr w14:paraId="48526EA3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5A10F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废水（COD、氨氮、色度）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DCA17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每月1次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A3C47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委托第三方检测机构开展</w:t>
            </w:r>
          </w:p>
        </w:tc>
      </w:tr>
      <w:tr w14:paraId="03E23207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70D1D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大气（NOₓ）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EBE8E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每季度1次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C7B49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委托第三方检测机构开展</w:t>
            </w:r>
          </w:p>
        </w:tc>
      </w:tr>
      <w:tr w14:paraId="3BB45B90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30D63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大气（颗粒物、非甲烷总烃，安徽厂区）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650E6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每季度1次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89774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委托第三方检测机构开展</w:t>
            </w:r>
          </w:p>
        </w:tc>
      </w:tr>
      <w:tr w14:paraId="32634D14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F1847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大气（颗粒物、非甲烷总烃，南通总部）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F642A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每年1次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0A2FC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委托第三方检测机构开展</w:t>
            </w:r>
          </w:p>
        </w:tc>
      </w:tr>
    </w:tbl>
    <w:p w14:paraId="52CCB39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全年监测计划执行率100%，各项监测数据均按要求存档，作为许可证执行报告及信息公开的基础依据。</w:t>
      </w:r>
    </w:p>
    <w:p w14:paraId="0ACA7B4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  <w:pict>
          <v:rect id="_x0000_i1029" o:spt="1" style="height:1.5pt;width:432pt;" fillcolor="#262626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8AA93A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四、超标情况说明</w:t>
      </w:r>
    </w:p>
    <w:p w14:paraId="297DA84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报告期内，南通总部、安徽厂区各排放口污染物浓度及排放总量</w:t>
      </w:r>
      <w:r>
        <w:rPr>
          <w:rStyle w:val="8"/>
          <w:rFonts w:hint="default" w:ascii="Tahoma" w:hAnsi="Tahoma" w:eastAsia="Tahoma" w:cs="Tahoma"/>
          <w:b/>
          <w:bCs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均未超过许可限值</w:t>
      </w: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，全年无超标排放记录，无因排污问题受到生态环境部门行政处罚或责令整改的情形。</w:t>
      </w:r>
    </w:p>
    <w:p w14:paraId="02D39B1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  <w:pict>
          <v:rect id="_x0000_i1030" o:spt="1" style="height:1.5pt;width:432pt;" fillcolor="#262626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4898B1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五、信息公开情况</w:t>
      </w:r>
    </w:p>
    <w:p w14:paraId="7116668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全年按要求通过国家排污许可证管理信息平台，定期公开月度自行监测数据及季度/年度执行报告，接受社会监督，信息公开及时率100%。</w:t>
      </w:r>
    </w:p>
    <w:p w14:paraId="5B3B87B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  <w:pict>
          <v:rect id="_x0000_i1031" o:spt="1" style="height:1.5pt;width:432pt;" fillcolor="#262626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36AB36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六、存在的不足与2026年工作安排</w:t>
      </w:r>
    </w:p>
    <w:p w14:paraId="5BEF74D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本年度工作中，南通总部定型机废气（颗粒物、非甲烷总烃）监测频次仅为每年1次，年度检测报告归档整理进度滞后，截至本报告编制时尚未完成本年度数据归集，计划于</w:t>
      </w:r>
      <w:r>
        <w:rPr>
          <w:rStyle w:val="8"/>
          <w:rFonts w:hint="default" w:ascii="Tahoma" w:hAnsi="Tahoma" w:eastAsia="Tahoma" w:cs="Tahoma"/>
          <w:b/>
          <w:bCs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2026年一季度</w:t>
      </w: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完成补充检测及数据归档工作。</w:t>
      </w:r>
    </w:p>
    <w:p w14:paraId="1376E5A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2026年度，部门将结合排污许可证执行报告年度评估要求，推动南通总部大气污染物监测频次由"每年1次"提升至"每季度1次"，与安徽厂区监测频次保持一致，进一步提升数据颗粒度与执行报告完整性。</w:t>
      </w:r>
    </w:p>
    <w:p w14:paraId="65AC7C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  <w:pict>
          <v:rect id="_x0000_i1032" o:spt="1" style="height:1.5pt;width:432pt;" fillcolor="#262626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95130B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环保安全部（EHS） 2026年1月20日</w:t>
      </w:r>
    </w:p>
    <w:p w14:paraId="0FDA7C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B31723"/>
    <w:rsid w:val="5CB3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1507</Words>
  <Characters>1724</Characters>
  <Lines>0</Lines>
  <Paragraphs>0</Paragraphs>
  <TotalTime>0</TotalTime>
  <ScaleCrop>false</ScaleCrop>
  <LinksUpToDate>false</LinksUpToDate>
  <CharactersWithSpaces>1737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2026-08-06T02:34:00Z</dcterms:created>
  <dc:creator>45105</dc:creator>
  <cp:lastModifiedBy>高艳辉Chris</cp:lastModifiedBy>
  <dcterms:modified xsi:type="dcterms:W3CDTF">2026-08-06T03:16:34Z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eyJoZGlkIjoiMzEwNTM5NzYwMDRjMzkwZTVkZjY2ODkwMGIxNGU0OTUiLCJ1c2VySWQiOiI1MDY0ODk0OTkifQ==</vt:lpwstr>
  </property>
  <property fmtid="{D5CDD505-2E9C-101B-9397-08002B2CF9AE}" pid="4" name="ICV">
    <vt:lpwstr>2D8F5F539094435CABE8A26939826DEE_12</vt:lpwstr>
  </property>
</Properties>
</file>