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6D9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江苏百尚服装股份有限公司突发环境事件应急预案</w:t>
      </w:r>
    </w:p>
    <w:p w14:paraId="0E2ED4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文件编号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：BS-HB-YA-2025 </w:t>
      </w:r>
    </w:p>
    <w:p w14:paraId="4D5E8D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版本号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：V1.0 </w:t>
      </w:r>
    </w:p>
    <w:p w14:paraId="7190A1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发布日期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：2025 年 3 月 15 日 </w:t>
      </w:r>
    </w:p>
    <w:p w14:paraId="37DF2A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审议机构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：公司第六届董事会第十次会议 </w:t>
      </w:r>
    </w:p>
    <w:p w14:paraId="56918B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备案情况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：已报南通、安徽属地生态环境部门备案 </w:t>
      </w:r>
    </w:p>
    <w:p w14:paraId="53CFE2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适用范围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：江苏百尚服装股份有限公司南通总部、安徽百尚智能服装有限公司生产基地</w:t>
      </w:r>
    </w:p>
    <w:p w14:paraId="6DF017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530AC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第一章 总则</w:t>
      </w:r>
      <w:bookmarkStart w:id="0" w:name="_GoBack"/>
      <w:bookmarkEnd w:id="0"/>
    </w:p>
    <w:p w14:paraId="0BDA0CB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 编制目的</w:t>
      </w:r>
    </w:p>
    <w:p w14:paraId="6190E5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为有效预防、及时控制和消除突发环境事件的危害，规范应急处置程序，最大程度降低事件对环境、人员和财产的影响，结合公司服装裁剪缝制加工的业务特点，制定本预案。</w:t>
      </w:r>
    </w:p>
    <w:p w14:paraId="6CCD00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 编制依据</w:t>
      </w:r>
    </w:p>
    <w:p w14:paraId="23A7BE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依据《中华人民共和国环境保护法》《中华人民共和国突发事件应对法》《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突发环境事件应急管理办法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》等法律法规及地方监管要求编制。</w:t>
      </w:r>
    </w:p>
    <w:p w14:paraId="685BFAF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1.3 事件分级</w:t>
      </w:r>
    </w:p>
    <w:p w14:paraId="454067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结合公司污染物排放强度低、无高危化学品的实际情况，将突发环境事件分为两级：</w:t>
      </w:r>
    </w:p>
    <w:p w14:paraId="65735CA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一般事件</w:t>
      </w:r>
      <w:r>
        <w:rPr>
          <w:color w:val="000000"/>
          <w:sz w:val="24"/>
          <w:szCs w:val="24"/>
        </w:rPr>
        <w:t>：局部小范围泄漏、处理设施短时故障，未造成超标排放或外部环境影响；</w:t>
      </w:r>
    </w:p>
    <w:p w14:paraId="3F070D4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较大事件</w:t>
      </w:r>
      <w:r>
        <w:rPr>
          <w:color w:val="000000"/>
          <w:sz w:val="24"/>
          <w:szCs w:val="24"/>
        </w:rPr>
        <w:t>：污染物超标外排、化学品大面积泄漏，造成厂区周边环境影响或触发监管预警。</w:t>
      </w:r>
    </w:p>
    <w:p w14:paraId="6D790D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第二章 应急组织体系</w:t>
      </w:r>
    </w:p>
    <w:p w14:paraId="03ECEA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 应急指挥部</w:t>
      </w:r>
    </w:p>
    <w:p w14:paraId="3319D62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总指挥：公司总经理</w:t>
      </w:r>
    </w:p>
    <w:p w14:paraId="58A91391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副总指挥：环保安全部（EHS）经理</w:t>
      </w:r>
    </w:p>
    <w:p w14:paraId="4D7E2BED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成员：生产部、设备管理部、行政部、供应链管理部、财务部负责人</w:t>
      </w:r>
    </w:p>
    <w:p w14:paraId="6408E57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 日常办事机构</w:t>
      </w:r>
    </w:p>
    <w:p w14:paraId="09802E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应急指挥部办公室设在环保安全部，负责预案日常管理、风险排查、培训演练、事件上报等工作。</w:t>
      </w:r>
    </w:p>
    <w:p w14:paraId="2F734D7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 应急处置小组</w:t>
      </w:r>
    </w:p>
    <w:p w14:paraId="7A0E03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下设现场处置组、监测预警组、后勤保障组、信息联络组，各小组职责明确，人员相对固定。</w:t>
      </w:r>
    </w:p>
    <w:p w14:paraId="10924C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第三章 环境风险源识别</w:t>
      </w:r>
    </w:p>
    <w:p w14:paraId="7A79A7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结合公司服装加工、无面料生产及印染的业务属性，主要环境风险源如下：</w:t>
      </w:r>
    </w:p>
    <w:p w14:paraId="6F896653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废水类风险</w:t>
      </w:r>
      <w:r>
        <w:rPr>
          <w:color w:val="000000"/>
          <w:sz w:val="24"/>
          <w:szCs w:val="24"/>
        </w:rPr>
        <w:t>：安徽生产基地污水处理站设备故障、停电导致处理设施停运，废水超标排入市政管网；</w:t>
      </w:r>
    </w:p>
    <w:p w14:paraId="5D4E0213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废气类风险</w:t>
      </w:r>
      <w:r>
        <w:rPr>
          <w:color w:val="000000"/>
          <w:sz w:val="24"/>
          <w:szCs w:val="24"/>
        </w:rPr>
        <w:t>：锅炉低氮燃烧装置故障、定型机废气收集处理装置异常，导致废气超标排放；</w:t>
      </w:r>
    </w:p>
    <w:p w14:paraId="6FAF3857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化学品类风险</w:t>
      </w:r>
      <w:r>
        <w:rPr>
          <w:color w:val="000000"/>
          <w:sz w:val="24"/>
          <w:szCs w:val="24"/>
        </w:rPr>
        <w:t>：生产用柔软剂、洗涤剂等助剂储存或使用过程中泄漏，污染土壤或厂区雨水系统；</w:t>
      </w:r>
    </w:p>
    <w:p w14:paraId="3AA5D054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危险废物类风险</w:t>
      </w:r>
      <w:r>
        <w:rPr>
          <w:color w:val="000000"/>
          <w:sz w:val="24"/>
          <w:szCs w:val="24"/>
        </w:rPr>
        <w:t>：废矿物油、废化学品包装桶、废含汞灯管等危废贮存不当发生泄漏，或转运过程遗撒；</w:t>
      </w:r>
    </w:p>
    <w:p w14:paraId="3926C703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次生环境风险</w:t>
      </w:r>
      <w:r>
        <w:rPr>
          <w:color w:val="000000"/>
          <w:sz w:val="24"/>
          <w:szCs w:val="24"/>
        </w:rPr>
        <w:t>：厂区火灾产生的消防废水、燃烧废气造成次生环境污染。</w:t>
      </w:r>
    </w:p>
    <w:p w14:paraId="4C4D33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第四章 预警与信息报告</w:t>
      </w:r>
    </w:p>
    <w:p w14:paraId="4B09A51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 预警分级</w:t>
      </w:r>
    </w:p>
    <w:p w14:paraId="2ADCD4D0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蓝色预警</w:t>
      </w:r>
      <w:r>
        <w:rPr>
          <w:color w:val="000000"/>
          <w:sz w:val="24"/>
          <w:szCs w:val="24"/>
        </w:rPr>
        <w:t>：发现风险隐患，可能引发一般突发环境事件；</w:t>
      </w:r>
    </w:p>
    <w:p w14:paraId="0144CC04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黄色预警</w:t>
      </w:r>
      <w:r>
        <w:rPr>
          <w:color w:val="000000"/>
          <w:sz w:val="24"/>
          <w:szCs w:val="24"/>
        </w:rPr>
        <w:t>：隐患扩大，可能引发较大突发环境事件。</w:t>
      </w:r>
    </w:p>
    <w:p w14:paraId="6CC679A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 信息报告</w:t>
      </w:r>
    </w:p>
    <w:p w14:paraId="53BA2E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发生一般事件后，事发部门须 30 分钟内上报环保安全部；发生较大事件后，环保安全部须 1 小时内上报属地生态环境部门，不得迟报、瞒报。</w:t>
      </w:r>
    </w:p>
    <w:p w14:paraId="31CB61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第五章 应急处置措施</w:t>
      </w:r>
    </w:p>
    <w:p w14:paraId="6CA2E78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5.1 废水超标事件处置</w:t>
      </w:r>
    </w:p>
    <w:p w14:paraId="5BD6C416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立即停止超标废水外排，启动应急收集池暂存废水；</w:t>
      </w:r>
    </w:p>
    <w:p w14:paraId="2F9344E8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排查故障原因，设备故障的启用备用设备，停电的启动应急电源；</w:t>
      </w:r>
    </w:p>
    <w:p w14:paraId="3DF99C9F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对超标废水进行回流处理，达标后方可排放；</w:t>
      </w:r>
    </w:p>
    <w:p w14:paraId="4C0ED414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事后排查原因，形成整改报告，对相关人员开展培训。</w:t>
      </w:r>
    </w:p>
    <w:p w14:paraId="66F628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 化学品泄漏处置</w:t>
      </w:r>
    </w:p>
    <w:p w14:paraId="5777D08B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立即切断泄漏源，疏散周边无关人员，做好个人防护；</w:t>
      </w:r>
    </w:p>
    <w:p w14:paraId="59FA4E4F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用沙土、吸附棉吸附泄漏物料，收集泄漏物及吸附材料，按危险废物规范处置；</w:t>
      </w:r>
    </w:p>
    <w:p w14:paraId="4F6A7B03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冲洗地面产生的废水导入污水处理站处理，严禁直接排入雨水管网。</w:t>
      </w:r>
    </w:p>
    <w:p w14:paraId="2F3339C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 危险废物泄漏处置</w:t>
      </w:r>
    </w:p>
    <w:p w14:paraId="194D4F87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立即将泄漏危废转移至合规贮存容器，清理污染区域；</w:t>
      </w:r>
    </w:p>
    <w:p w14:paraId="443878B1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废矿物油泄漏采用吸油毡吸附，废灯管泄漏防止汞蒸气扩散，佩戴防毒器具处置；</w:t>
      </w:r>
    </w:p>
    <w:p w14:paraId="7899E586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事后更新危废台账，核查贮存场所防护措施。</w:t>
      </w:r>
    </w:p>
    <w:p w14:paraId="5B16EEE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5.4 次生消防废水处置</w:t>
      </w:r>
    </w:p>
    <w:p w14:paraId="1D59D7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火灾处置过程中，在厂区雨水总排口设置截流闸板，将消防废水全部导入应急池，事后分批送入污水处理站处理，严禁消防废水外排。</w:t>
      </w:r>
    </w:p>
    <w:p w14:paraId="477177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第六章 应急保障</w:t>
      </w:r>
    </w:p>
    <w:p w14:paraId="1B99260D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物资保障</w:t>
      </w:r>
      <w:r>
        <w:rPr>
          <w:color w:val="000000"/>
          <w:sz w:val="24"/>
          <w:szCs w:val="24"/>
        </w:rPr>
        <w:t>：两厂区配备应急沙、吸附棉、堵漏工具、应急泵、个人防护用品、快速检测设备等应急物资，由环保安全部定期盘点更新；</w:t>
      </w:r>
    </w:p>
    <w:p w14:paraId="06B99FD0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队伍保障</w:t>
      </w:r>
      <w:r>
        <w:rPr>
          <w:color w:val="000000"/>
          <w:sz w:val="24"/>
          <w:szCs w:val="24"/>
        </w:rPr>
        <w:t>：建立 15 人的专职应急处置队伍，每年开展不少于 2 次专业培训；</w:t>
      </w:r>
    </w:p>
    <w:p w14:paraId="7B612A79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通讯保障</w:t>
      </w:r>
      <w:r>
        <w:rPr>
          <w:color w:val="000000"/>
          <w:sz w:val="24"/>
          <w:szCs w:val="24"/>
        </w:rPr>
        <w:t>：明确应急联络人及 24 小时联系电话，确保通讯畅通；</w:t>
      </w:r>
    </w:p>
    <w:p w14:paraId="2432DD95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color w:val="000000"/>
          <w:sz w:val="24"/>
          <w:szCs w:val="24"/>
        </w:rPr>
        <w:t>经费保障</w:t>
      </w:r>
      <w:r>
        <w:rPr>
          <w:color w:val="000000"/>
          <w:sz w:val="24"/>
          <w:szCs w:val="24"/>
        </w:rPr>
        <w:t>：年度环保预算中预留专项应急经费，专款专用。</w:t>
      </w:r>
    </w:p>
    <w:p w14:paraId="70D33C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第七章 培训与演练</w:t>
      </w:r>
    </w:p>
    <w:p w14:paraId="4718031A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每年组织不少于 1 次全员环境风险防范培训，新员工上岗前须接受相关培训；</w:t>
      </w:r>
    </w:p>
    <w:p w14:paraId="62ECA694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每年至少组织 1 次突发环境事件专项应急演练，2025 年度演练主题为 “污水处理站故障超标排放应急处置”，参与人数 62 人，演练评估合格；</w:t>
      </w:r>
    </w:p>
    <w:p w14:paraId="7FD5F445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演练后形成评估报告，针对不足修订预案、优化处置流程。</w:t>
      </w:r>
    </w:p>
    <w:p w14:paraId="5BCDE7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第八章 附则</w:t>
      </w:r>
    </w:p>
    <w:p w14:paraId="352AC804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本预案由环保安全部负责解释与修订，每 3 年全面修订一次，遇重大工艺调整、风险源变化时及时修订；</w:t>
      </w:r>
    </w:p>
    <w:p w14:paraId="2EE8F351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2025 年度公司未发生任何突发环境事件，未因环境事件受到行政处罚。</w:t>
      </w:r>
    </w:p>
    <w:p w14:paraId="394E1E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DE92EF"/>
    <w:multiLevelType w:val="multilevel"/>
    <w:tmpl w:val="9ADE92E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1BEDA75"/>
    <w:multiLevelType w:val="multilevel"/>
    <w:tmpl w:val="A1BEDA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BF14F43E"/>
    <w:multiLevelType w:val="multilevel"/>
    <w:tmpl w:val="BF14F43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D0DD01F8"/>
    <w:multiLevelType w:val="multilevel"/>
    <w:tmpl w:val="D0DD01F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D326E860"/>
    <w:multiLevelType w:val="multilevel"/>
    <w:tmpl w:val="D326E86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EBDB2E39"/>
    <w:multiLevelType w:val="multilevel"/>
    <w:tmpl w:val="EBDB2E3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01462C9C"/>
    <w:multiLevelType w:val="multilevel"/>
    <w:tmpl w:val="01462C9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615FD2EC"/>
    <w:multiLevelType w:val="multilevel"/>
    <w:tmpl w:val="615FD2E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63DEB555"/>
    <w:multiLevelType w:val="multilevel"/>
    <w:tmpl w:val="63DEB55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9">
    <w:nsid w:val="65D8794C"/>
    <w:multiLevelType w:val="multilevel"/>
    <w:tmpl w:val="65D8794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75E20"/>
    <w:rsid w:val="0E6E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1674</Words>
  <Characters>1729</Characters>
  <Lines>0</Lines>
  <Paragraphs>0</Paragraphs>
  <TotalTime>0</TotalTime>
  <ScaleCrop>false</ScaleCrop>
  <LinksUpToDate>false</LinksUpToDate>
  <CharactersWithSpaces>1780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2026-08-06T02:33:00Z</dcterms:created>
  <dc:creator>45105</dc:creator>
  <cp:lastModifiedBy>高艳辉Chris</cp:lastModifiedBy>
  <dcterms:modified xsi:type="dcterms:W3CDTF">2026-08-06T03:18:40Z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8F04CF826F7547219762AA8E4D0219DD_12</vt:lpwstr>
  </property>
</Properties>
</file>