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B97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江苏百尚服装股份有限公司2025年度废弃物管理补充记录</w:t>
      </w:r>
    </w:p>
    <w:p w14:paraId="28A4D43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编制部门：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 xml:space="preserve"> 环保安全部（EHS） </w:t>
      </w: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编制日期：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 xml:space="preserve"> 2026年1月15日 </w:t>
      </w: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文件性质：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 xml:space="preserve"> 补充记录——对《2025年度能源和环保工作总结》第四章"废弃物管理"（表15-18）的补充说明</w:t>
      </w:r>
    </w:p>
    <w:p w14:paraId="1B7461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  <w:pict>
          <v:rect id="_x0000_i1025" o:spt="1" style="height:1.5pt;width:432pt;" fillcolor="#262626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386E31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一、编制说明</w:t>
      </w:r>
    </w:p>
    <w:p w14:paraId="441F2D3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《2025年度能源和环保工作总结》第四章已完整披露公司2025年度固体废弃物、危险废物的产生总量、分类、处置方式及裁剪边角料循环利用情况，本文件不再重复列示相关数据，</w:t>
      </w: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统计范围及口径与该文件保持一致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（南通总部、安徽厂区两个生产运营单元）。</w:t>
      </w:r>
    </w:p>
    <w:p w14:paraId="58FBBC2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本文件仅补充以下两类该文件未涉及的内容：</w:t>
      </w:r>
    </w:p>
    <w:p w14:paraId="4F87C097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/>
        <w:ind w:left="0" w:right="0" w:hanging="360"/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缝制工序特有的</w:t>
      </w: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断针管理记录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；</w:t>
      </w:r>
    </w:p>
    <w:p w14:paraId="12ADA73D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/>
        <w:ind w:left="0" w:right="0" w:hanging="360"/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生产过程中产生的</w:t>
      </w: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次品/等外品处置记录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；</w:t>
      </w:r>
    </w:p>
    <w:p w14:paraId="32FC560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/>
        <w:ind w:left="0" w:right="0" w:hanging="360"/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危险废物受托处置单位的</w:t>
      </w: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具体资质信息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。</w:t>
      </w:r>
    </w:p>
    <w:p w14:paraId="6D0477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pict>
          <v:rect id="_x0000_i1026" o:spt="1" style="height:1.5pt;width:432pt;" fillcolor="#262626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46B3B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二、断针管理记录</w:t>
      </w:r>
    </w:p>
    <w:p w14:paraId="571F66B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公司缝制工序涉及针织、车缝作业，按行业惯例设置断针检测与管理流程，防止金属异物遗留产品或造成设备安全隐患。</w:t>
      </w:r>
    </w:p>
    <w:p w14:paraId="5D59C03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表A：2025年度断针检测与处理情况</w:t>
      </w:r>
    </w:p>
    <w:tbl>
      <w:tblPr>
        <w:tblStyle w:val="6"/>
        <w:tblW w:w="0" w:type="auto"/>
        <w:tblInd w:w="0" w:type="dxa"/>
        <w:tblBorders>
          <w:top w:val="single" w:color="D8DEE4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34"/>
        <w:gridCol w:w="4453"/>
        <w:gridCol w:w="1222"/>
        <w:gridCol w:w="987"/>
      </w:tblGrid>
      <w:tr w14:paraId="6B5C7AD3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DCD5D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项目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BAF8D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南通总部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C313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安徽厂区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9232A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</w:tr>
      <w:tr w14:paraId="4DB3D815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5C7EA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检针设备数量（台）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C4C17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A5309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B9522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</w:tr>
      <w:tr w14:paraId="30FD65DF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A08F4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全年检针抽检批次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2C93A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1,842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66105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2,653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53C9A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4,495</w:t>
            </w:r>
          </w:p>
        </w:tc>
      </w:tr>
      <w:tr w14:paraId="110C7ADA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3D7A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全年检出断针（枚）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E2AFE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6EC04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1740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</w:tr>
      <w:tr w14:paraId="3BE8D847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440DC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断针处置方式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55A41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统一收集于专用断针盒，定期交由废旧金属回收单位处置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9EDE3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同左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F056C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—</w:t>
            </w:r>
          </w:p>
        </w:tc>
      </w:tr>
    </w:tbl>
    <w:p w14:paraId="28F1966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说明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：断针属于极小体量的金属废弃物，按公司《化学品安全使用与有害物质管控规定》配套的现场安全管理要求纳入专区暂存，不单独计入表15固废统计范围（体量可忽略，但作为服装行业特有的产品安全管理事项予以记录）。全年未发生因断针遗留导致的产品质量投诉或客户召回事件。</w:t>
      </w:r>
    </w:p>
    <w:p w14:paraId="5B273CC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  <w:pict>
          <v:rect id="_x0000_i1027" o:spt="1" style="height:1.5pt;width:432pt;" fillcolor="#262626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0F42B2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三、次品/等外品处置记录</w:t>
      </w:r>
    </w:p>
    <w:p w14:paraId="0B3BB4F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公司生产过程中产生的次品、等外品（不含边角料及裁剪废料，边角料数据详见官方文件表17），处置方式以折价销售、公益捐赠为主，仅少量确实无法利用的残次品纳入销毁处理。</w:t>
      </w:r>
    </w:p>
    <w:p w14:paraId="516DD9F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表B：2025年度次品/等外品产生与处置情况</w:t>
      </w:r>
    </w:p>
    <w:tbl>
      <w:tblPr>
        <w:tblStyle w:val="6"/>
        <w:tblW w:w="0" w:type="auto"/>
        <w:tblInd w:w="0" w:type="dxa"/>
        <w:tblBorders>
          <w:top w:val="single" w:color="D8DEE4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90"/>
        <w:gridCol w:w="1338"/>
        <w:gridCol w:w="1514"/>
        <w:gridCol w:w="3654"/>
      </w:tblGrid>
      <w:tr w14:paraId="137BBDCC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D442A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处置方式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63770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数量（万件）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96F61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占年产量比例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DA666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说明</w:t>
            </w:r>
          </w:p>
        </w:tc>
      </w:tr>
      <w:tr w14:paraId="0B6D0882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9FBDE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折价销售（工厂店/尾货渠道）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3001D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6.8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1CF75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1.36%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B8EA8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主要为轻微瑕疵品，不影响基本使用功能</w:t>
            </w:r>
          </w:p>
        </w:tc>
      </w:tr>
      <w:tr w14:paraId="56679C7D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9290B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公益捐赠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46477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1.2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4F1D8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0.24%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F6574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捐赠至公司参与的乡村振兴/公益项目</w:t>
            </w:r>
          </w:p>
        </w:tc>
      </w:tr>
      <w:tr w14:paraId="7E646D71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7E857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销毁处理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6B4E5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0.5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14709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0.10%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AF68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严重瑕疵、无法折价或捐赠的残次品，委托第三方粉碎处理</w:t>
            </w:r>
          </w:p>
        </w:tc>
      </w:tr>
      <w:tr w14:paraId="4E427061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C69F5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Style w:val="8"/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9BA25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Style w:val="8"/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8.5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881C7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Style w:val="8"/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1.70%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B16FA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年产量500万件（数据来源：官方文件表8）</w:t>
            </w:r>
          </w:p>
        </w:tc>
      </w:tr>
    </w:tbl>
    <w:p w14:paraId="7722309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说明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：折价销售及公益捐赠部分不产生废弃物，仅销毁处理部分（约0.5万件，折合约4.2吨面料重量估算）计入固体废弃物范畴；因体量较小且未单独归类统计，暂未纳入官方文件表15汇总数据，建议后续年度纳入统一统计口径。</w:t>
      </w:r>
    </w:p>
    <w:p w14:paraId="65EB72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  <w:pict>
          <v:rect id="_x0000_i1028" o:spt="1" style="height:1.5pt;width:432pt;" fillcolor="#262626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79823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四、危险废物处置单位资质信息（对应官方文件表18）</w:t>
      </w:r>
    </w:p>
    <w:p w14:paraId="27BFBA2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官方文件表18已披露危险废物三大类别的产生量（废机油/润滑油1.24吨、废化学品包装桶0.42吨、废旧灯管0.86吨），均注明"委托持证单位处置"，本文件补充受托单位的具体资质信息：</w:t>
      </w:r>
    </w:p>
    <w:p w14:paraId="09902C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240" w:after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hd w:val="clear" w:fill="FFFFFF"/>
        </w:rPr>
        <w:t>表C：2025年度危险废物受托处置单位信息</w:t>
      </w:r>
    </w:p>
    <w:tbl>
      <w:tblPr>
        <w:tblStyle w:val="6"/>
        <w:tblW w:w="0" w:type="auto"/>
        <w:tblInd w:w="0" w:type="dxa"/>
        <w:tblBorders>
          <w:top w:val="single" w:color="D8DEE4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7"/>
        <w:gridCol w:w="1203"/>
        <w:gridCol w:w="1909"/>
        <w:gridCol w:w="2214"/>
        <w:gridCol w:w="1733"/>
      </w:tblGrid>
      <w:tr w14:paraId="1146B68B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864BC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危废类别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03308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废物代码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B2D95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受托处置单位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1D0CA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经营许可证编号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76E70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b/>
                <w:bCs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许可证有效期</w:t>
            </w:r>
          </w:p>
        </w:tc>
      </w:tr>
      <w:tr w14:paraId="65E53ED7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5075B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废机油/润滑油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6F45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HW08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4DB7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江苏某环保科技有限公司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A527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苏环危证〔2023〕XX号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CA643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2023年—2026年</w:t>
            </w:r>
          </w:p>
        </w:tc>
      </w:tr>
      <w:tr w14:paraId="2C136C71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4E11E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废化学品包装桶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A26A5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HW49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1C5CA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江苏某环保科技有限公司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55084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苏环危证〔2023〕XX号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EFA16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2023年—2026年</w:t>
            </w:r>
          </w:p>
        </w:tc>
      </w:tr>
      <w:tr w14:paraId="0034ABB5">
        <w:tblPrEx>
          <w:tblBorders>
            <w:top w:val="single" w:color="D8DEE4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7DBA6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废旧灯管（含汞）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AEE7D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HW29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94E38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上海某固废处理有限公司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D9493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沪环危证〔2022〕XX号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199B6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sz w:val="24"/>
                <w:szCs w:val="2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62626"/>
                <w:spacing w:val="0"/>
                <w:kern w:val="0"/>
                <w:sz w:val="24"/>
                <w:szCs w:val="24"/>
                <w:lang w:val="en-US" w:eastAsia="zh-CN" w:bidi="ar"/>
              </w:rPr>
              <w:t>2022年—2025年</w:t>
            </w:r>
          </w:p>
        </w:tc>
      </w:tr>
    </w:tbl>
    <w:p w14:paraId="3B9C2B5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</w:rPr>
      </w:pPr>
      <w:r>
        <w:rPr>
          <w:rStyle w:val="8"/>
          <w:rFonts w:hint="default" w:ascii="Tahoma" w:hAnsi="Tahoma" w:eastAsia="Tahoma" w:cs="Tahoma"/>
          <w:b/>
          <w:bCs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说明</w:t>
      </w:r>
      <w:r>
        <w:rPr>
          <w:rFonts w:hint="default" w:ascii="Tahoma" w:hAnsi="Tahoma" w:eastAsia="Tahoma" w:cs="Tahoma"/>
          <w:i w:val="0"/>
          <w:iCs w:val="0"/>
          <w:caps w:val="0"/>
          <w:color w:val="262626"/>
          <w:spacing w:val="0"/>
          <w:sz w:val="24"/>
          <w:szCs w:val="24"/>
          <w:shd w:val="clear" w:fill="FFFFFF"/>
        </w:rPr>
        <w:t>：全年危险废物转移均通过国家危险废物电子转移联单系统申报，联单编号及转移记录存档于环保安全部（EHS），与官方文件表18"全年无超期贮存、违规转移情况"的表述一致。</w:t>
      </w:r>
      <w:bookmarkStart w:id="0" w:name="_GoBack"/>
      <w:bookmarkEnd w:id="0"/>
    </w:p>
    <w:p w14:paraId="596ACC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894C58"/>
    <w:multiLevelType w:val="multilevel"/>
    <w:tmpl w:val="B8894C5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2B1CE6"/>
    <w:rsid w:val="5A08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1281</Words>
  <Characters>1421</Characters>
  <Lines>0</Lines>
  <Paragraphs>0</Paragraphs>
  <TotalTime>0</TotalTime>
  <ScaleCrop>false</ScaleCrop>
  <LinksUpToDate>false</LinksUpToDate>
  <CharactersWithSpaces>1426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2026-08-06T02:09:00Z</dcterms:created>
  <dc:creator>45105</dc:creator>
  <cp:lastModifiedBy>高艳辉Chris</cp:lastModifiedBy>
  <dcterms:modified xsi:type="dcterms:W3CDTF">2026-08-06T02:11:00Z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eyJoZGlkIjoiMzEwNTM5NzYwMDRjMzkwZTVkZjY2ODkwMGIxNGU0OTUiLCJ1c2VySWQiOiI1MDY0ODk0OTkifQ==</vt:lpwstr>
  </property>
  <property fmtid="{D5CDD505-2E9C-101B-9397-08002B2CF9AE}" pid="4" name="ICV">
    <vt:lpwstr>696F7DDF594348818E354CA353987E7E_12</vt:lpwstr>
  </property>
</Properties>
</file>