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3A05">
      <w:pPr>
        <w:pStyle w:val="2"/>
        <w:spacing w:line="360" w:lineRule="auto"/>
        <w:jc w:val="center"/>
        <w:rPr>
          <w:rFonts w:asciiTheme="minorHAnsi" w:hAnsiTheme="minorHAnsi" w:eastAsiaTheme="minorHAnsi"/>
          <w:sz w:val="32"/>
          <w:szCs w:val="32"/>
        </w:rPr>
      </w:pPr>
      <w:bookmarkStart w:id="0" w:name="_Toc73609467"/>
      <w:bookmarkStart w:id="1" w:name="_Toc10109445"/>
      <w:bookmarkStart w:id="2" w:name="_Toc9953794"/>
      <w:bookmarkStart w:id="3" w:name="_Toc126837360"/>
      <w:bookmarkStart w:id="4" w:name="_Toc9951299"/>
      <w:bookmarkStart w:id="5" w:name="_Toc126848981"/>
      <w:bookmarkStart w:id="6" w:name="_Toc10127083"/>
      <w:bookmarkStart w:id="7" w:name="_Hlk10734348"/>
      <w:r>
        <w:rPr>
          <w:rFonts w:hint="eastAsia" w:asciiTheme="minorHAnsi" w:hAnsiTheme="minorHAnsi" w:eastAsiaTheme="minorHAnsi"/>
          <w:sz w:val="32"/>
          <w:szCs w:val="32"/>
        </w:rPr>
        <w:t>CIMC</w:t>
      </w:r>
      <w:r>
        <w:rPr>
          <w:rFonts w:asciiTheme="minorHAnsi" w:hAnsiTheme="minorHAnsi" w:eastAsiaTheme="minorHAnsi"/>
          <w:sz w:val="32"/>
          <w:szCs w:val="32"/>
        </w:rPr>
        <w:t>“</w:t>
      </w:r>
      <w:r>
        <w:rPr>
          <w:rFonts w:hint="eastAsia" w:asciiTheme="minorHAnsi" w:hAnsiTheme="minorHAnsi" w:eastAsiaTheme="minorHAnsi"/>
          <w:sz w:val="32"/>
          <w:szCs w:val="32"/>
        </w:rPr>
        <w:t>西门子杯</w:t>
      </w:r>
      <w:r>
        <w:rPr>
          <w:rFonts w:asciiTheme="minorHAnsi" w:hAnsiTheme="minorHAnsi" w:eastAsiaTheme="minorHAnsi"/>
          <w:sz w:val="32"/>
          <w:szCs w:val="32"/>
        </w:rPr>
        <w:t>”</w:t>
      </w:r>
      <w:r>
        <w:rPr>
          <w:rFonts w:hint="eastAsia" w:asciiTheme="minorHAnsi" w:hAnsiTheme="minorHAnsi" w:eastAsiaTheme="minorHAnsi"/>
          <w:sz w:val="32"/>
          <w:szCs w:val="32"/>
        </w:rPr>
        <w:t>中国</w:t>
      </w:r>
      <w:r>
        <w:rPr>
          <w:rFonts w:asciiTheme="minorHAnsi" w:hAnsiTheme="minorHAnsi" w:eastAsiaTheme="minorHAnsi"/>
          <w:sz w:val="32"/>
          <w:szCs w:val="32"/>
        </w:rPr>
        <w:t>智能制造挑战赛</w:t>
      </w:r>
      <w:bookmarkEnd w:id="0"/>
      <w:bookmarkEnd w:id="1"/>
      <w:bookmarkEnd w:id="2"/>
      <w:bookmarkEnd w:id="3"/>
      <w:bookmarkEnd w:id="4"/>
      <w:bookmarkEnd w:id="5"/>
      <w:bookmarkEnd w:id="6"/>
    </w:p>
    <w:p w14:paraId="149979AE">
      <w:pPr>
        <w:pStyle w:val="2"/>
        <w:spacing w:line="360" w:lineRule="auto"/>
        <w:jc w:val="center"/>
        <w:rPr>
          <w:rFonts w:asciiTheme="minorHAnsi" w:hAnsiTheme="minorHAnsi" w:eastAsiaTheme="minorHAnsi"/>
          <w:sz w:val="32"/>
          <w:szCs w:val="32"/>
        </w:rPr>
      </w:pPr>
      <w:bookmarkStart w:id="8" w:name="_Toc10127084"/>
      <w:bookmarkStart w:id="9" w:name="_Toc126848982"/>
      <w:r>
        <w:rPr>
          <w:rFonts w:hint="eastAsia" w:asciiTheme="minorHAnsi" w:hAnsiTheme="minorHAnsi" w:eastAsiaTheme="minorHAnsi"/>
          <w:sz w:val="32"/>
          <w:szCs w:val="32"/>
        </w:rPr>
        <w:t>晋级总决赛规则</w:t>
      </w:r>
      <w:bookmarkEnd w:id="8"/>
      <w:bookmarkEnd w:id="9"/>
    </w:p>
    <w:p w14:paraId="5EDDD3F6">
      <w:pPr>
        <w:jc w:val="center"/>
        <w:rPr>
          <w:rFonts w:asciiTheme="minorHAnsi" w:hAnsiTheme="minorHAnsi" w:eastAsiaTheme="minorHAnsi"/>
          <w:sz w:val="32"/>
        </w:rPr>
      </w:pPr>
    </w:p>
    <w:bookmarkEnd w:id="7"/>
    <w:p w14:paraId="7F1976B4">
      <w:pPr>
        <w:spacing w:line="360" w:lineRule="auto"/>
        <w:rPr>
          <w:rFonts w:asciiTheme="minorEastAsia" w:hAnsiTheme="minorEastAsia" w:eastAsiaTheme="minorEastAsia"/>
          <w:b/>
        </w:rPr>
      </w:pPr>
      <w:r>
        <w:rPr>
          <w:rFonts w:hint="eastAsia" w:asciiTheme="minorEastAsia" w:hAnsiTheme="minorEastAsia" w:eastAsiaTheme="minorEastAsia"/>
          <w:b/>
        </w:rPr>
        <w:t>一、智能</w:t>
      </w:r>
      <w:r>
        <w:rPr>
          <w:rFonts w:asciiTheme="minorEastAsia" w:hAnsiTheme="minorEastAsia" w:eastAsiaTheme="minorEastAsia"/>
          <w:b/>
        </w:rPr>
        <w:t>制造工程设计与应用类赛项</w:t>
      </w:r>
    </w:p>
    <w:p w14:paraId="0EEBDEA4">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晋级名额：</w:t>
      </w:r>
    </w:p>
    <w:p w14:paraId="09C8E7D0">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全国竞赛组委会将根据全国总决赛赛程安排制定当年各赛项全国总决赛晋级名额。</w:t>
      </w:r>
    </w:p>
    <w:p w14:paraId="7B71CCCF">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本科组参赛队将根据各赛区实际参赛队伍数量在全国占比分配各赛区的晋级名额。</w:t>
      </w:r>
    </w:p>
    <w:p w14:paraId="2765E5A1">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高职组参赛队进行全国统一晋级评选。</w:t>
      </w:r>
    </w:p>
    <w:p w14:paraId="23F8DEC2">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精益智造系统设计与优化方向，本科组、高职组进行全国统一晋级评选。</w:t>
      </w:r>
    </w:p>
    <w:p w14:paraId="1D86752C">
      <w:pPr>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晋级评选方法：</w:t>
      </w:r>
    </w:p>
    <w:p w14:paraId="4A49D168">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各赛项（组别）荣获全国初赛特等奖及一等奖的参赛队伍中，每所高校成绩最高的1支队伍进入候选名单，然后根据成绩择优晋级。</w:t>
      </w:r>
    </w:p>
    <w:p w14:paraId="0CF35402">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经首轮评选后，如晋级名额出现空缺，空缺名额将从各高校成绩第二的队伍按成绩从高到低择优补齐，每所高校最多晋级2支队伍。</w:t>
      </w:r>
    </w:p>
    <w:p w14:paraId="6DEA804E">
      <w:pPr>
        <w:spacing w:line="360" w:lineRule="auto"/>
        <w:rPr>
          <w:rFonts w:asciiTheme="minorEastAsia" w:hAnsiTheme="minorEastAsia" w:eastAsiaTheme="minorEastAsia"/>
          <w:b/>
        </w:rPr>
      </w:pPr>
      <w:r>
        <w:rPr>
          <w:rFonts w:hint="eastAsia" w:asciiTheme="minorEastAsia" w:hAnsiTheme="minorEastAsia" w:eastAsiaTheme="minorEastAsia"/>
          <w:b/>
        </w:rPr>
        <w:t>二、智能</w:t>
      </w:r>
      <w:r>
        <w:rPr>
          <w:rFonts w:asciiTheme="minorEastAsia" w:hAnsiTheme="minorEastAsia" w:eastAsiaTheme="minorEastAsia"/>
          <w:b/>
        </w:rPr>
        <w:t>制造创新研发类赛项</w:t>
      </w:r>
    </w:p>
    <w:p w14:paraId="58491749">
      <w:pPr>
        <w:spacing w:line="360" w:lineRule="auto"/>
        <w:rPr>
          <w:rFonts w:asciiTheme="minorEastAsia" w:hAnsiTheme="minorEastAsia" w:eastAsiaTheme="minorEastAsia"/>
        </w:rPr>
      </w:pPr>
      <w:r>
        <w:rPr>
          <w:rFonts w:hint="eastAsia" w:asciiTheme="minorEastAsia" w:hAnsiTheme="minorEastAsia" w:eastAsiaTheme="minorEastAsia"/>
        </w:rPr>
        <w:t>1、晋级</w:t>
      </w:r>
      <w:r>
        <w:rPr>
          <w:rFonts w:asciiTheme="minorEastAsia" w:hAnsiTheme="minorEastAsia" w:eastAsiaTheme="minorEastAsia"/>
        </w:rPr>
        <w:t>名额：</w:t>
      </w:r>
    </w:p>
    <w:p w14:paraId="070F3B8B">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全国竞赛组委会将根据全国总决赛赛程安排确定当年各赛项全国总决赛晋级名额。</w:t>
      </w:r>
    </w:p>
    <w:p w14:paraId="18F75DDC">
      <w:pPr>
        <w:numPr>
          <w:ilvl w:val="0"/>
          <w:numId w:val="1"/>
        </w:numPr>
        <w:spacing w:line="360" w:lineRule="auto"/>
        <w:rPr>
          <w:rFonts w:asciiTheme="minorEastAsia" w:hAnsiTheme="minorEastAsia" w:eastAsiaTheme="minorEastAsia"/>
        </w:rPr>
      </w:pPr>
      <w:r>
        <w:rPr>
          <w:rFonts w:asciiTheme="minorEastAsia" w:hAnsiTheme="minorEastAsia" w:eastAsiaTheme="minorEastAsia"/>
        </w:rPr>
        <w:t>初赛进行分赛区评奖的赛项将根据各赛区实际参赛队伍数量在全国占比分配各赛区晋级名额。</w:t>
      </w:r>
    </w:p>
    <w:p w14:paraId="3C5C3DBF">
      <w:pPr>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、晋级评选方法</w:t>
      </w:r>
    </w:p>
    <w:p w14:paraId="39B9927E">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各赛项荣获全国初赛特等奖及一等奖的参赛队伍中，每所高校成绩最高的1支队伍进入候选名单，然后根据成绩择优晋级。</w:t>
      </w:r>
    </w:p>
    <w:p w14:paraId="36BEEC27">
      <w:pPr>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经首轮评选后，如晋级名额出现空缺，空缺名额将从各高校成绩第二的队伍按成绩从高到低择优补齐，每所高校最多晋级2支队伍。</w:t>
      </w:r>
    </w:p>
    <w:p w14:paraId="275FEF39">
      <w:bookmarkStart w:id="10" w:name="_GoBack"/>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DBDB">
    <w:pPr>
      <w:pStyle w:val="4"/>
    </w:pPr>
    <w:r>
      <w:t>“</w:t>
    </w:r>
    <w:r>
      <w:rPr>
        <w:rFonts w:hint="eastAsia"/>
      </w:rPr>
      <w:t>西门子杯</w:t>
    </w:r>
    <w:r>
      <w:t>”</w:t>
    </w:r>
    <w:r>
      <w:rPr>
        <w:rFonts w:hint="eastAsia"/>
      </w:rPr>
      <w:t>中国</w:t>
    </w:r>
    <w:r>
      <w:t>智能制造挑战撒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3674D"/>
    <w:multiLevelType w:val="multilevel"/>
    <w:tmpl w:val="1B1367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YzMxZDE1MWJlYjJkNGQ5MGE4M2Y0NWJmNDdhOTgifQ=="/>
  </w:docVars>
  <w:rsids>
    <w:rsidRoot w:val="004F282D"/>
    <w:rsid w:val="00021890"/>
    <w:rsid w:val="000621F5"/>
    <w:rsid w:val="000B0257"/>
    <w:rsid w:val="000E48AC"/>
    <w:rsid w:val="00193D25"/>
    <w:rsid w:val="001A6007"/>
    <w:rsid w:val="0020692F"/>
    <w:rsid w:val="002E2D76"/>
    <w:rsid w:val="00363526"/>
    <w:rsid w:val="003D0D09"/>
    <w:rsid w:val="00423090"/>
    <w:rsid w:val="00486FDB"/>
    <w:rsid w:val="004F282D"/>
    <w:rsid w:val="00520AE7"/>
    <w:rsid w:val="005376C2"/>
    <w:rsid w:val="005D3CDF"/>
    <w:rsid w:val="005E1C1A"/>
    <w:rsid w:val="006A5C04"/>
    <w:rsid w:val="00714353"/>
    <w:rsid w:val="007301D4"/>
    <w:rsid w:val="007E2712"/>
    <w:rsid w:val="009038FC"/>
    <w:rsid w:val="00943147"/>
    <w:rsid w:val="00954459"/>
    <w:rsid w:val="00A36D66"/>
    <w:rsid w:val="00A87A88"/>
    <w:rsid w:val="00AD060F"/>
    <w:rsid w:val="00B10E6F"/>
    <w:rsid w:val="00B672B3"/>
    <w:rsid w:val="00BD02F8"/>
    <w:rsid w:val="00C0512F"/>
    <w:rsid w:val="00C769A5"/>
    <w:rsid w:val="00C84BFB"/>
    <w:rsid w:val="00D31EA0"/>
    <w:rsid w:val="00DA6486"/>
    <w:rsid w:val="00DE2EC6"/>
    <w:rsid w:val="00F66F1B"/>
    <w:rsid w:val="00FF2108"/>
    <w:rsid w:val="7AFC532E"/>
    <w:rsid w:val="7AFF0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580</Characters>
  <Lines>4</Lines>
  <Paragraphs>1</Paragraphs>
  <TotalTime>0</TotalTime>
  <ScaleCrop>false</ScaleCrop>
  <LinksUpToDate>false</LinksUpToDate>
  <CharactersWithSpaces>580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2018-09-20T08:15:00Z</dcterms:created>
  <dc:creator>hui</dc:creator>
  <cp:lastModifiedBy>粥粥</cp:lastModifiedBy>
  <dcterms:modified xsi:type="dcterms:W3CDTF">2024-06-11T04:57:56Z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074BAAACA708429DB4133FB843D7DA66_13</vt:lpwstr>
  </property>
</Properties>
</file>