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rPr>
          <w:rFonts w:hint="eastAsia" w:ascii="仿宋" w:hAnsi="仿宋" w:cs="宋体"/>
          <w:b/>
          <w:kern w:val="0"/>
          <w:sz w:val="32"/>
          <w:szCs w:val="32"/>
        </w:rPr>
      </w:pPr>
      <w:bookmarkStart w:id="0" w:name="_Toc50749918"/>
      <w:r>
        <w:rPr>
          <w:rFonts w:hint="eastAsia" w:ascii="仿宋" w:hAnsi="仿宋" w:cs="宋体"/>
          <w:b/>
          <w:kern w:val="0"/>
          <w:sz w:val="32"/>
          <w:szCs w:val="32"/>
        </w:rPr>
        <w:t>附件</w:t>
      </w:r>
      <w:r>
        <w:rPr>
          <w:rFonts w:ascii="仿宋" w:hAnsi="仿宋" w:cs="宋体"/>
          <w:b/>
          <w:kern w:val="0"/>
          <w:sz w:val="32"/>
          <w:szCs w:val="32"/>
        </w:rPr>
        <w:t xml:space="preserve">5 </w:t>
      </w:r>
      <w:r>
        <w:rPr>
          <w:rFonts w:hint="eastAsia" w:ascii="仿宋" w:hAnsi="仿宋" w:cs="宋体"/>
          <w:b/>
          <w:kern w:val="0"/>
          <w:sz w:val="32"/>
          <w:szCs w:val="32"/>
        </w:rPr>
        <w:t>参赛人员进校要求及方式</w:t>
      </w:r>
    </w:p>
    <w:p>
      <w:pPr>
        <w:adjustRightInd w:val="0"/>
        <w:snapToGrid w:val="0"/>
        <w:spacing w:before="312" w:beforeLines="100"/>
        <w:rPr>
          <w:rFonts w:ascii="仿宋" w:hAnsi="仿宋" w:cs="宋体"/>
          <w:b/>
          <w:kern w:val="0"/>
          <w:sz w:val="32"/>
          <w:szCs w:val="32"/>
        </w:rPr>
      </w:pPr>
      <w:r>
        <w:rPr>
          <w:rFonts w:ascii="仿宋" w:hAnsi="仿宋" w:cs="宋体"/>
          <w:b/>
          <w:kern w:val="0"/>
          <w:sz w:val="32"/>
          <w:szCs w:val="32"/>
        </w:rPr>
        <w:t>一</w:t>
      </w:r>
      <w:bookmarkEnd w:id="0"/>
      <w:r>
        <w:rPr>
          <w:rFonts w:hint="eastAsia" w:ascii="仿宋" w:hAnsi="仿宋" w:cs="宋体"/>
          <w:b/>
          <w:kern w:val="0"/>
          <w:sz w:val="32"/>
          <w:szCs w:val="32"/>
          <w:lang w:eastAsia="zh-CN"/>
        </w:rPr>
        <w:t>、</w:t>
      </w:r>
      <w:r>
        <w:rPr>
          <w:rFonts w:hint="eastAsia" w:ascii="仿宋" w:hAnsi="仿宋" w:cs="宋体"/>
          <w:b/>
          <w:kern w:val="0"/>
          <w:sz w:val="32"/>
          <w:szCs w:val="32"/>
        </w:rPr>
        <w:t>进校人员防疫要求</w:t>
      </w:r>
    </w:p>
    <w:p>
      <w:pPr>
        <w:ind w:firstLine="708" w:firstLineChars="253"/>
      </w:pPr>
      <w:r>
        <w:rPr>
          <w:rFonts w:hint="eastAsia"/>
        </w:rPr>
        <w:t>填报参赛人员健康状况排查承诺书，要求提前完成“苏康码”的申领，满足“苏康码”绿码、“行程码”无异常和体温检测低于37.3摄氏度的要求，无发热、咳嗽等相关症状，参赛期间应自备一次性医用口罩或无呼吸阀的N95口罩。有以下情况之一者，应主动报告，不能参加：</w:t>
      </w:r>
    </w:p>
    <w:p>
      <w:pPr>
        <w:ind w:firstLine="708" w:firstLineChars="253"/>
      </w:pPr>
      <w:r>
        <w:t>1</w:t>
      </w:r>
      <w:r>
        <w:rPr>
          <w:rFonts w:hint="eastAsia"/>
        </w:rPr>
        <w:t>、参赛前10天内有国（境）外旅居史；</w:t>
      </w:r>
    </w:p>
    <w:p>
      <w:pPr>
        <w:ind w:firstLine="708" w:firstLineChars="253"/>
      </w:pPr>
      <w:r>
        <w:rPr>
          <w:rFonts w:hint="eastAsia"/>
        </w:rPr>
        <w:t>2、参赛前10天内接触过新冠肺炎确诊病例、疑似病例、无症状感染者及密切接触者；</w:t>
      </w:r>
    </w:p>
    <w:p>
      <w:pPr>
        <w:ind w:firstLine="708" w:firstLineChars="253"/>
      </w:pPr>
      <w:r>
        <w:rPr>
          <w:rFonts w:hint="eastAsia"/>
        </w:rPr>
        <w:t>3、参赛前7天内有中高风险区（包括中高风险区所在县&lt;市、区、旗&gt;的其他地区）旅居史；</w:t>
      </w:r>
    </w:p>
    <w:p>
      <w:pPr>
        <w:ind w:firstLine="708" w:firstLineChars="253"/>
      </w:pPr>
      <w:r>
        <w:rPr>
          <w:rFonts w:hint="eastAsia"/>
        </w:rPr>
        <w:t>4、参赛前7天内出现发热、干咳、乏力、嗅味觉减退、鼻塞、流涕、咽痛、结膜炎、肌痛和腹泻等症状且未进行2次核酸检测（2次之间需间隔24小时）由医疗机构排除新冠感染；</w:t>
      </w:r>
    </w:p>
    <w:p>
      <w:pPr>
        <w:ind w:firstLine="708" w:firstLineChars="253"/>
      </w:pPr>
      <w:r>
        <w:rPr>
          <w:rFonts w:hint="eastAsia"/>
        </w:rPr>
        <w:t>5、尚在随访及医学观察期内的已治愈出院确诊病例和已解除集中隔离医学观察的无症状感染者；</w:t>
      </w:r>
    </w:p>
    <w:p>
      <w:pPr>
        <w:ind w:firstLine="708" w:firstLineChars="253"/>
      </w:pPr>
      <w:r>
        <w:rPr>
          <w:rFonts w:hint="eastAsia"/>
        </w:rPr>
        <w:t>6、尚处于集中隔离医学观察、居家隔离医学观察或居家健康监测；</w:t>
      </w:r>
    </w:p>
    <w:p>
      <w:pPr>
        <w:ind w:firstLine="708" w:firstLineChars="253"/>
      </w:pPr>
      <w:r>
        <w:rPr>
          <w:rFonts w:hint="eastAsia"/>
        </w:rPr>
        <w:t>7、苏康码非绿码、行程码异常；</w:t>
      </w:r>
    </w:p>
    <w:p>
      <w:pPr>
        <w:ind w:firstLine="708" w:firstLineChars="253"/>
      </w:pPr>
      <w:r>
        <w:rPr>
          <w:rFonts w:hint="eastAsia"/>
        </w:rPr>
        <w:t>8、共同居住人员有上述1—7的任一情况；</w:t>
      </w:r>
    </w:p>
    <w:p>
      <w:pPr>
        <w:ind w:firstLine="708" w:firstLineChars="253"/>
      </w:pPr>
      <w:r>
        <w:rPr>
          <w:rFonts w:hint="eastAsia"/>
        </w:rPr>
        <w:t>9、拒签参赛人员健康状况排查承诺书。</w:t>
      </w:r>
    </w:p>
    <w:p>
      <w:pPr>
        <w:adjustRightInd w:val="0"/>
        <w:snapToGrid w:val="0"/>
        <w:spacing w:before="312" w:beforeLines="100"/>
        <w:rPr>
          <w:rFonts w:ascii="仿宋" w:hAnsi="仿宋" w:cs="宋体"/>
          <w:b/>
          <w:kern w:val="0"/>
          <w:sz w:val="32"/>
          <w:szCs w:val="32"/>
        </w:rPr>
      </w:pPr>
      <w:bookmarkStart w:id="1" w:name="_Toc50749919"/>
      <w:r>
        <w:rPr>
          <w:rFonts w:hint="eastAsia" w:ascii="仿宋" w:hAnsi="仿宋" w:cs="宋体"/>
          <w:b/>
          <w:kern w:val="0"/>
          <w:sz w:val="32"/>
          <w:szCs w:val="32"/>
        </w:rPr>
        <w:t>二</w:t>
      </w:r>
      <w:bookmarkEnd w:id="1"/>
      <w:r>
        <w:rPr>
          <w:rFonts w:hint="eastAsia" w:ascii="仿宋" w:hAnsi="仿宋" w:cs="宋体"/>
          <w:b/>
          <w:kern w:val="0"/>
          <w:sz w:val="32"/>
          <w:szCs w:val="32"/>
          <w:lang w:eastAsia="zh-CN"/>
        </w:rPr>
        <w:t>、</w:t>
      </w:r>
      <w:r>
        <w:rPr>
          <w:rFonts w:hint="eastAsia" w:ascii="仿宋" w:hAnsi="仿宋" w:cs="宋体"/>
          <w:b/>
          <w:kern w:val="0"/>
          <w:sz w:val="32"/>
          <w:szCs w:val="32"/>
        </w:rPr>
        <w:t>进校方式</w:t>
      </w:r>
    </w:p>
    <w:p>
      <w:pPr>
        <w:ind w:firstLine="708" w:firstLineChars="253"/>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参加人员在比赛2小时前通过扫二维码线上提交本人苏康码、行程码、4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小时核酸报告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(进校时与检测时间间隔48小时)；进入楼宇：流韵楼；事由：参加竞赛</w:t>
      </w:r>
      <w:bookmarkStart w:id="2" w:name="_GoBack"/>
      <w:bookmarkEnd w:id="2"/>
      <w:r>
        <w:rPr>
          <w:rFonts w:hint="eastAsia"/>
          <w:color w:val="000000" w:themeColor="text1"/>
          <w:lang w:val="en-US" w:eastAsia="zh-CN"/>
          <w14:textFill>
            <w14:solidFill>
              <w14:schemeClr w14:val="tx1"/>
            </w14:solidFill>
          </w14:textFill>
        </w:rPr>
        <w:t>，完成后等待审批，也可QQ提醒孙加存老师审批，审批通过后会收到短信。注意当天不允许申请开车进校，不允许指导老师进校。</w:t>
      </w:r>
    </w:p>
    <w:p>
      <w:pPr>
        <w:ind w:firstLine="708" w:firstLineChars="253"/>
        <w:rPr>
          <w:b/>
          <w:bCs/>
        </w:rPr>
      </w:pPr>
      <w:r>
        <w:rPr>
          <w:rFonts w:hint="eastAsia"/>
          <w:lang w:val="en-US" w:eastAsia="zh-CN"/>
        </w:rPr>
        <w:t>特别提醒：3日当天5号门要迎接本校学生开学报到，所以参赛队员一律从</w:t>
      </w:r>
      <w:r>
        <w:rPr>
          <w:rFonts w:hint="eastAsia"/>
          <w:b/>
          <w:bCs/>
          <w:lang w:val="en-US" w:eastAsia="zh-CN"/>
        </w:rPr>
        <w:t>7号门</w:t>
      </w:r>
      <w:r>
        <w:rPr>
          <w:rFonts w:hint="eastAsia"/>
          <w:lang w:val="en-US" w:eastAsia="zh-CN"/>
        </w:rPr>
        <w:t>进出，不得穿越校内警戒线，不得进入非比赛区域，比赛结束后请半小时内离校，校内届时对流韵楼周边开启全区域监控。比赛当天为防止参赛人员和校内学生交叉，</w:t>
      </w:r>
      <w:r>
        <w:rPr>
          <w:rFonts w:hint="eastAsia"/>
          <w:b/>
          <w:bCs/>
          <w:lang w:val="en-US" w:eastAsia="zh-CN"/>
        </w:rPr>
        <w:t>校内食堂餐厅不对参赛人员开放，请大家比赛结束后尽快从7号门凭检录时发放的参赛人员胸牌离开</w:t>
      </w:r>
      <w:r>
        <w:rPr>
          <w:rFonts w:hint="eastAsia"/>
          <w:b/>
          <w:bCs/>
        </w:rPr>
        <w:t>。</w:t>
      </w:r>
    </w:p>
    <w:p>
      <w:pPr>
        <w:ind w:firstLine="708" w:firstLineChars="253"/>
        <w:rPr>
          <w:rFonts w:hint="eastAsia"/>
          <w:color w:val="000000" w:themeColor="text1"/>
          <w:lang w:val="en-US" w:eastAsia="zh-CN"/>
          <w14:textFill>
            <w14:solidFill>
              <w14:schemeClr w14:val="tx1"/>
            </w14:solidFill>
          </w14:textFill>
        </w:rPr>
      </w:pPr>
    </w:p>
    <w:p>
      <w:pPr>
        <w:ind w:firstLine="708" w:firstLineChars="253"/>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071452"/>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hZjM1ZjIwMGE5OGZlMjEwZjg4YmNmODg1OGNiM2EifQ=="/>
  </w:docVars>
  <w:rsids>
    <w:rsidRoot w:val="001213D4"/>
    <w:rsid w:val="00037938"/>
    <w:rsid w:val="00042166"/>
    <w:rsid w:val="000638B3"/>
    <w:rsid w:val="00063D68"/>
    <w:rsid w:val="000A18C2"/>
    <w:rsid w:val="000C60F5"/>
    <w:rsid w:val="000C6CE7"/>
    <w:rsid w:val="001213D4"/>
    <w:rsid w:val="001450BE"/>
    <w:rsid w:val="00175DEE"/>
    <w:rsid w:val="00196834"/>
    <w:rsid w:val="00243F0F"/>
    <w:rsid w:val="0025749B"/>
    <w:rsid w:val="002A0345"/>
    <w:rsid w:val="002C4B1C"/>
    <w:rsid w:val="003A067D"/>
    <w:rsid w:val="003C542C"/>
    <w:rsid w:val="00462041"/>
    <w:rsid w:val="00464D8B"/>
    <w:rsid w:val="004C6CB4"/>
    <w:rsid w:val="00574232"/>
    <w:rsid w:val="005C3C15"/>
    <w:rsid w:val="0067593E"/>
    <w:rsid w:val="0068102F"/>
    <w:rsid w:val="006B23AE"/>
    <w:rsid w:val="006D1840"/>
    <w:rsid w:val="006D190F"/>
    <w:rsid w:val="006D6A6F"/>
    <w:rsid w:val="00747B8B"/>
    <w:rsid w:val="007A0696"/>
    <w:rsid w:val="00863941"/>
    <w:rsid w:val="008B5D4B"/>
    <w:rsid w:val="008C40D7"/>
    <w:rsid w:val="008D62F4"/>
    <w:rsid w:val="008E0576"/>
    <w:rsid w:val="00906DEE"/>
    <w:rsid w:val="009130F7"/>
    <w:rsid w:val="009C0B8B"/>
    <w:rsid w:val="00A1174F"/>
    <w:rsid w:val="00A50824"/>
    <w:rsid w:val="00AE05F2"/>
    <w:rsid w:val="00AF4F57"/>
    <w:rsid w:val="00B10BBA"/>
    <w:rsid w:val="00B13697"/>
    <w:rsid w:val="00B3447E"/>
    <w:rsid w:val="00BB3965"/>
    <w:rsid w:val="00BB7CA1"/>
    <w:rsid w:val="00BF65A6"/>
    <w:rsid w:val="00C8151F"/>
    <w:rsid w:val="00CD523D"/>
    <w:rsid w:val="00D10844"/>
    <w:rsid w:val="00DA5E75"/>
    <w:rsid w:val="00DF249B"/>
    <w:rsid w:val="00E04DEA"/>
    <w:rsid w:val="00E11B02"/>
    <w:rsid w:val="00E91298"/>
    <w:rsid w:val="00F0185E"/>
    <w:rsid w:val="00FA220B"/>
    <w:rsid w:val="06AA0E9F"/>
    <w:rsid w:val="5A85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uiPriority w:val="99"/>
    <w:pPr>
      <w:jc w:val="left"/>
    </w:pPr>
  </w:style>
  <w:style w:type="paragraph" w:styleId="5">
    <w:name w:val="Balloon Text"/>
    <w:basedOn w:val="1"/>
    <w:link w:val="24"/>
    <w:semiHidden/>
    <w:unhideWhenUsed/>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3"/>
    <w:semiHidden/>
    <w:unhideWhenUsed/>
    <w:uiPriority w:val="99"/>
    <w:rPr>
      <w:b/>
      <w:bCs/>
    </w:rPr>
  </w:style>
  <w:style w:type="character" w:styleId="14">
    <w:name w:val="Hyperlink"/>
    <w:basedOn w:val="13"/>
    <w:unhideWhenUsed/>
    <w:uiPriority w:val="99"/>
    <w:rPr>
      <w:color w:val="0563C1" w:themeColor="hyperlink"/>
      <w:u w:val="single"/>
      <w14:textFill>
        <w14:solidFill>
          <w14:schemeClr w14:val="hlink"/>
        </w14:solidFill>
      </w14:textFill>
    </w:rPr>
  </w:style>
  <w:style w:type="character" w:styleId="15">
    <w:name w:val="annotation reference"/>
    <w:basedOn w:val="13"/>
    <w:semiHidden/>
    <w:unhideWhenUsed/>
    <w:uiPriority w:val="99"/>
    <w:rPr>
      <w:sz w:val="21"/>
      <w:szCs w:val="21"/>
    </w:rPr>
  </w:style>
  <w:style w:type="character" w:customStyle="1" w:styleId="16">
    <w:name w:val="标题 1 字符"/>
    <w:basedOn w:val="13"/>
    <w:link w:val="2"/>
    <w:qFormat/>
    <w:uiPriority w:val="0"/>
    <w:rPr>
      <w:rFonts w:ascii="Times New Roman" w:hAnsi="Times New Roman" w:eastAsia="仿宋" w:cs="Times New Roman"/>
      <w:b/>
      <w:bCs/>
      <w:kern w:val="44"/>
      <w:sz w:val="44"/>
      <w:szCs w:val="44"/>
    </w:rPr>
  </w:style>
  <w:style w:type="paragraph" w:styleId="17">
    <w:name w:val="List Paragraph"/>
    <w:basedOn w:val="1"/>
    <w:qFormat/>
    <w:uiPriority w:val="34"/>
    <w:pPr>
      <w:ind w:firstLine="420" w:firstLineChars="200"/>
    </w:pPr>
  </w:style>
  <w:style w:type="character" w:customStyle="1" w:styleId="18">
    <w:name w:val="标题 2 字符"/>
    <w:basedOn w:val="13"/>
    <w:link w:val="3"/>
    <w:qFormat/>
    <w:uiPriority w:val="9"/>
    <w:rPr>
      <w:rFonts w:eastAsia="宋体" w:asciiTheme="majorHAnsi" w:hAnsiTheme="majorHAnsi" w:cstheme="majorBidi"/>
      <w:b/>
      <w:bCs/>
      <w:sz w:val="32"/>
      <w:szCs w:val="32"/>
    </w:r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0">
    <w:name w:val="页眉 字符"/>
    <w:basedOn w:val="13"/>
    <w:link w:val="7"/>
    <w:uiPriority w:val="99"/>
    <w:rPr>
      <w:rFonts w:ascii="Times New Roman" w:hAnsi="Times New Roman" w:eastAsia="仿宋" w:cs="Times New Roman"/>
      <w:sz w:val="18"/>
      <w:szCs w:val="18"/>
    </w:rPr>
  </w:style>
  <w:style w:type="character" w:customStyle="1" w:styleId="21">
    <w:name w:val="页脚 字符"/>
    <w:basedOn w:val="13"/>
    <w:link w:val="6"/>
    <w:uiPriority w:val="99"/>
    <w:rPr>
      <w:rFonts w:ascii="Times New Roman" w:hAnsi="Times New Roman" w:eastAsia="仿宋" w:cs="Times New Roman"/>
      <w:sz w:val="18"/>
      <w:szCs w:val="18"/>
    </w:rPr>
  </w:style>
  <w:style w:type="character" w:customStyle="1" w:styleId="22">
    <w:name w:val="批注文字 字符"/>
    <w:basedOn w:val="13"/>
    <w:link w:val="4"/>
    <w:semiHidden/>
    <w:uiPriority w:val="99"/>
    <w:rPr>
      <w:rFonts w:ascii="Times New Roman" w:hAnsi="Times New Roman" w:eastAsia="仿宋" w:cs="Times New Roman"/>
      <w:sz w:val="28"/>
      <w:szCs w:val="24"/>
    </w:rPr>
  </w:style>
  <w:style w:type="character" w:customStyle="1" w:styleId="23">
    <w:name w:val="批注主题 字符"/>
    <w:basedOn w:val="22"/>
    <w:link w:val="11"/>
    <w:semiHidden/>
    <w:uiPriority w:val="99"/>
    <w:rPr>
      <w:rFonts w:ascii="Times New Roman" w:hAnsi="Times New Roman" w:eastAsia="仿宋" w:cs="Times New Roman"/>
      <w:b/>
      <w:bCs/>
      <w:sz w:val="28"/>
      <w:szCs w:val="24"/>
    </w:rPr>
  </w:style>
  <w:style w:type="character" w:customStyle="1" w:styleId="24">
    <w:name w:val="批注框文本 字符"/>
    <w:basedOn w:val="13"/>
    <w:link w:val="5"/>
    <w:semiHidden/>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C681-1F6E-42D0-AEB7-82933FE4E61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497</Words>
  <Characters>506</Characters>
  <Lines>3</Lines>
  <Paragraphs>1</Paragraphs>
  <TotalTime>4</TotalTime>
  <ScaleCrop>false</ScaleCrop>
  <LinksUpToDate>false</LinksUpToDate>
  <CharactersWithSpaces>507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2022-09-01T06:19:00Z</dcterms:created>
  <dc:creator>jc sun</dc:creator>
  <cp:lastModifiedBy>娜姐</cp:lastModifiedBy>
  <cp:lastPrinted>2022-08-29T03:11:00Z</cp:lastPrinted>
  <dcterms:modified xsi:type="dcterms:W3CDTF">2022-09-01T07:40:06Z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FCF5C17C15F349E19F20BBB9FF176154</vt:lpwstr>
  </property>
</Properties>
</file>